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1DC" w:rsidRPr="00A976BC" w:rsidRDefault="007051DC" w:rsidP="007762F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bookmark0"/>
      <w:r w:rsidRPr="00A976B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79D67D" wp14:editId="1926581F">
                <wp:simplePos x="0" y="0"/>
                <wp:positionH relativeFrom="column">
                  <wp:posOffset>4840605</wp:posOffset>
                </wp:positionH>
                <wp:positionV relativeFrom="paragraph">
                  <wp:posOffset>-499110</wp:posOffset>
                </wp:positionV>
                <wp:extent cx="1188720" cy="38862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388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051DC" w:rsidRPr="00D018B7" w:rsidRDefault="007051DC" w:rsidP="007051DC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79D67D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1.15pt;margin-top:-39.3pt;width:93.6pt;height:30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" fillcolor="window" stroked="f" strokeweight=".5pt">
                <v:textbox>
                  <w:txbxContent>
                    <w:p w:rsidR="007051DC" w:rsidRPr="00D018B7" w:rsidRDefault="007051DC" w:rsidP="007051DC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A976B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714564148" r:id="rId6"/>
        </w:object>
      </w:r>
    </w:p>
    <w:p w:rsidR="007051DC" w:rsidRPr="00A976BC" w:rsidRDefault="007051DC" w:rsidP="007762FB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A976BC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051DC" w:rsidRPr="00A976BC" w:rsidTr="007C4F56">
        <w:tc>
          <w:tcPr>
            <w:tcW w:w="9639" w:type="dxa"/>
          </w:tcPr>
          <w:p w:rsidR="007051DC" w:rsidRPr="00A976BC" w:rsidRDefault="007051DC" w:rsidP="007762FB">
            <w:pPr>
              <w:keepNext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A97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ДВАДЦЯТЬ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ДЕВ’ЯТА</w:t>
            </w:r>
            <w:r w:rsidRPr="00A97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976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51DC" w:rsidRPr="00A976BC" w:rsidRDefault="007051DC" w:rsidP="007762F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ru-RU" w:eastAsia="ru-RU"/>
        </w:rPr>
      </w:pPr>
    </w:p>
    <w:p w:rsidR="007051DC" w:rsidRPr="00A976BC" w:rsidRDefault="007051DC" w:rsidP="007762F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A976BC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7051DC" w:rsidRPr="00A976BC" w:rsidRDefault="007051DC" w:rsidP="007051D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051DC" w:rsidRDefault="007051DC" w:rsidP="007051D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24.02.2022 </w:t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proofErr w:type="spellStart"/>
      <w:r w:rsidR="00A16DD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м.Буча</w:t>
      </w:r>
      <w:proofErr w:type="spellEnd"/>
      <w:r w:rsidR="00A16DD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="00A16DD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="00A16DD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="00A16DD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№ 2957</w:t>
      </w:r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9</w:t>
      </w:r>
      <w:r w:rsidRPr="00A976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-VIІІ</w:t>
      </w:r>
    </w:p>
    <w:p w:rsidR="007051DC" w:rsidRDefault="007051DC" w:rsidP="007051D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16DDE" w:rsidRPr="00A976BC" w:rsidRDefault="00A16DDE" w:rsidP="007051D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bookmarkEnd w:id="0"/>
    <w:p w:rsidR="00A16DDE" w:rsidRDefault="007051DC" w:rsidP="00705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Про списання </w:t>
      </w:r>
    </w:p>
    <w:p w:rsidR="007051DC" w:rsidRPr="007051DC" w:rsidRDefault="007051DC" w:rsidP="00705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основного засобу</w:t>
      </w:r>
    </w:p>
    <w:p w:rsidR="007051DC" w:rsidRDefault="007051DC" w:rsidP="00705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з балансу КП «</w:t>
      </w:r>
      <w:proofErr w:type="spellStart"/>
      <w:r w:rsidRPr="00705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Бучабудзамовник</w:t>
      </w:r>
      <w:proofErr w:type="spellEnd"/>
      <w:r w:rsidRPr="00705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»</w:t>
      </w:r>
    </w:p>
    <w:p w:rsidR="007051DC" w:rsidRPr="007051DC" w:rsidRDefault="007051DC" w:rsidP="00705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051DC" w:rsidRDefault="007051DC" w:rsidP="00705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Заслухавши інформацію директора КІІ «</w:t>
      </w:r>
      <w:proofErr w:type="spellStart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Бучабудзамовник</w:t>
      </w:r>
      <w:proofErr w:type="spellEnd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», Гребенюка А.К., щодо непридатності до подальшого використання основного засобу, враховуючи акт 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нвентаризації майна, що пропонує</w:t>
      </w: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ться до списання від 12.01.2022р., акт обстеження транспортного засобу від 12.01.2022р.. протокол №1 засідання комісії щодо встановлення факту непридатності майна від 12.01.2022р.. згідно вимог Закону України «Про бухгалтерський облік та фінансову звітність в Україні». «Методичних рекомендацій з бухгалтерського обліку основних засобів суб'єктів державного сектору», затверджених наказом Міністерства фінансів України №11 від 23.01.2015 року, та Національного положення (стандарту) бухгалтерського обліку 121 «Основні засоби», зважаю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чи на те. що аукціон з продаж</w:t>
      </w:r>
      <w:r w:rsidR="00E256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транспортного засобу не відбувся, враховуючи пропозиції постійної комісії ради з питань планування, бюджету, фінансів та податкової політики, керуючись Законом України «Про місцеве самоврядування в Україні», міська рада</w:t>
      </w:r>
    </w:p>
    <w:p w:rsidR="007051DC" w:rsidRPr="007051DC" w:rsidRDefault="007051DC" w:rsidP="00705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051DC" w:rsidRDefault="007051DC" w:rsidP="007051D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ВИРІШИЛА:</w:t>
      </w:r>
    </w:p>
    <w:p w:rsidR="007051DC" w:rsidRPr="007051DC" w:rsidRDefault="007051DC" w:rsidP="00705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051DC" w:rsidRPr="007051DC" w:rsidRDefault="007051DC" w:rsidP="007051DC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Надати дозвіл на списання з балансу КП «</w:t>
      </w:r>
      <w:proofErr w:type="spellStart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Бучабудзамовник</w:t>
      </w:r>
      <w:proofErr w:type="spellEnd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 основного засобу, як такого, що непридатний до подальшого використання, відновлювальний ремонт його неможливий та економічно недоцільний, що додається.</w:t>
      </w:r>
    </w:p>
    <w:p w:rsidR="007051DC" w:rsidRPr="007051DC" w:rsidRDefault="007051DC" w:rsidP="007051DC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Зобов'язати КП "</w:t>
      </w:r>
      <w:proofErr w:type="spellStart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Бучабудзамовник</w:t>
      </w:r>
      <w:proofErr w:type="spellEnd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" використати придатне обладнання транспортного засобу для ремонту інших транспортних засобів, а непридатні деталі та матеріали в установленому порядку здати підприємствам, які здійснюють збір вторинної сировини.</w:t>
      </w:r>
    </w:p>
    <w:p w:rsidR="007051DC" w:rsidRPr="007051DC" w:rsidRDefault="007051DC" w:rsidP="007051DC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КП «</w:t>
      </w:r>
      <w:proofErr w:type="spellStart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Бучабудзамовник</w:t>
      </w:r>
      <w:proofErr w:type="spellEnd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 зняти з обліку списаний транспортний засіб в Територіальному сервісному центрі ГСЦ МВС в Київській області або іншій прирівняній до нього організації.</w:t>
      </w:r>
    </w:p>
    <w:p w:rsidR="007051DC" w:rsidRPr="007051DC" w:rsidRDefault="007051DC" w:rsidP="007051DC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Вважати таким, що втратило чинність рішення </w:t>
      </w:r>
      <w:proofErr w:type="spellStart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</w:t>
      </w:r>
      <w:r w:rsidR="00E256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чанської</w:t>
      </w:r>
      <w:proofErr w:type="spellEnd"/>
      <w:r w:rsidR="00E256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міської ради №1297-13-</w:t>
      </w:r>
      <w:r w:rsidR="00E256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V</w:t>
      </w: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ІІІ</w:t>
      </w:r>
    </w:p>
    <w:p w:rsidR="007051DC" w:rsidRPr="007051DC" w:rsidRDefault="007051DC" w:rsidP="007051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24.06.2021р.</w:t>
      </w:r>
    </w:p>
    <w:p w:rsidR="00296007" w:rsidRPr="007051DC" w:rsidRDefault="007051DC" w:rsidP="007051DC">
      <w:pPr>
        <w:pStyle w:val="a4"/>
        <w:numPr>
          <w:ilvl w:val="0"/>
          <w:numId w:val="2"/>
        </w:numPr>
        <w:ind w:left="426" w:hanging="426"/>
        <w:jc w:val="both"/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даного рішення покласти на постійну комісію ради з питань планування, бюджет</w:t>
      </w:r>
      <w:r w:rsidR="00A16DD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bookmarkStart w:id="1" w:name="_GoBack"/>
      <w:bookmarkEnd w:id="1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фінансів та податкової політики.</w:t>
      </w:r>
    </w:p>
    <w:p w:rsidR="007051DC" w:rsidRDefault="007051DC" w:rsidP="007051DC">
      <w:pPr>
        <w:pStyle w:val="a4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pStyle w:val="a4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pStyle w:val="a4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</w:p>
    <w:p w:rsidR="007051DC" w:rsidRDefault="007051DC" w:rsidP="007051DC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Міський голова</w:t>
      </w:r>
      <w:bookmarkStart w:id="2" w:name="bookmark2"/>
      <w:r w:rsidRPr="00A97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Анатолій ФЕДОРУК</w:t>
      </w:r>
      <w:bookmarkEnd w:id="2"/>
    </w:p>
    <w:p w:rsidR="007051DC" w:rsidRDefault="007051DC" w:rsidP="007051D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pStyle w:val="a4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3259"/>
      </w:tblGrid>
      <w:tr w:rsidR="007051DC" w:rsidRPr="00A976BC" w:rsidTr="007C4F56">
        <w:trPr>
          <w:trHeight w:val="1447"/>
          <w:jc w:val="center"/>
        </w:trPr>
        <w:tc>
          <w:tcPr>
            <w:tcW w:w="3544" w:type="dxa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Заступник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міського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голови</w:t>
            </w:r>
            <w:proofErr w:type="spellEnd"/>
          </w:p>
        </w:tc>
        <w:tc>
          <w:tcPr>
            <w:tcW w:w="2835" w:type="dxa"/>
            <w:vAlign w:val="center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>_______</w:t>
            </w: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259" w:type="dxa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</w:pPr>
            <w:proofErr w:type="spellStart"/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>Сергій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 xml:space="preserve"> ШЕПЕТЬКО</w:t>
            </w:r>
          </w:p>
        </w:tc>
      </w:tr>
      <w:tr w:rsidR="007051DC" w:rsidRPr="00A976BC" w:rsidTr="007C4F56">
        <w:trPr>
          <w:trHeight w:val="1447"/>
          <w:jc w:val="center"/>
        </w:trPr>
        <w:tc>
          <w:tcPr>
            <w:tcW w:w="3544" w:type="dxa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Начальник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управління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юридично-кадрової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роботи</w:t>
            </w:r>
            <w:proofErr w:type="spellEnd"/>
          </w:p>
        </w:tc>
        <w:tc>
          <w:tcPr>
            <w:tcW w:w="2835" w:type="dxa"/>
            <w:vAlign w:val="center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 </w:t>
            </w:r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>_______</w:t>
            </w: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259" w:type="dxa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>Людмила РИЖЕНКО</w:t>
            </w:r>
          </w:p>
        </w:tc>
      </w:tr>
      <w:tr w:rsidR="007051DC" w:rsidRPr="00A976BC" w:rsidTr="007C4F56">
        <w:trPr>
          <w:trHeight w:val="1447"/>
          <w:jc w:val="center"/>
        </w:trPr>
        <w:tc>
          <w:tcPr>
            <w:tcW w:w="3544" w:type="dxa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Начальник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відділу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фінансового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обліку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та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фінансового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  <w:t>забезпечення</w:t>
            </w:r>
            <w:proofErr w:type="spellEnd"/>
          </w:p>
        </w:tc>
        <w:tc>
          <w:tcPr>
            <w:tcW w:w="2835" w:type="dxa"/>
            <w:vAlign w:val="center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>_______</w:t>
            </w: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259" w:type="dxa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</w:pPr>
            <w:proofErr w:type="spellStart"/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>Світлана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  <w:t xml:space="preserve"> ЯКУБЕНКО</w:t>
            </w:r>
          </w:p>
        </w:tc>
      </w:tr>
      <w:tr w:rsidR="007051DC" w:rsidRPr="00A976BC" w:rsidTr="007C4F56">
        <w:trPr>
          <w:trHeight w:val="1447"/>
          <w:jc w:val="center"/>
        </w:trPr>
        <w:tc>
          <w:tcPr>
            <w:tcW w:w="3544" w:type="dxa"/>
          </w:tcPr>
          <w:p w:rsidR="007051DC" w:rsidRPr="007051DC" w:rsidRDefault="007051DC" w:rsidP="00705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Директор</w:t>
            </w:r>
          </w:p>
          <w:p w:rsidR="007051DC" w:rsidRPr="00A976BC" w:rsidRDefault="007051DC" w:rsidP="00705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Cs/>
                <w:sz w:val="28"/>
                <w:szCs w:val="24"/>
                <w:lang w:val="ru-RU"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КП «</w:t>
            </w:r>
            <w:proofErr w:type="spellStart"/>
            <w:r w:rsidRPr="007051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Бучабудзамовник</w:t>
            </w:r>
            <w:proofErr w:type="spellEnd"/>
            <w:r w:rsidRPr="007051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835" w:type="dxa"/>
            <w:vAlign w:val="center"/>
          </w:tcPr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976B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>_______</w:t>
            </w: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976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7051DC" w:rsidRPr="00A976BC" w:rsidRDefault="007051DC" w:rsidP="007C4F5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259" w:type="dxa"/>
          </w:tcPr>
          <w:p w:rsidR="007051DC" w:rsidRPr="007051DC" w:rsidRDefault="007051DC" w:rsidP="007C4F5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uk-UA"/>
              </w:rPr>
            </w:pPr>
            <w:r w:rsidRPr="007051DC">
              <w:rPr>
                <w:rFonts w:ascii="Times New Roman" w:hAnsi="Times New Roman" w:cs="Times New Roman"/>
                <w:sz w:val="28"/>
                <w:szCs w:val="28"/>
              </w:rPr>
              <w:t>Анатолій ГРЕБЕНЮК</w:t>
            </w:r>
          </w:p>
        </w:tc>
      </w:tr>
    </w:tbl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Default="007051DC" w:rsidP="007051DC">
      <w:pPr>
        <w:pStyle w:val="a4"/>
        <w:ind w:left="426"/>
        <w:jc w:val="both"/>
      </w:pPr>
    </w:p>
    <w:p w:rsidR="007051DC" w:rsidRPr="007051DC" w:rsidRDefault="007051DC" w:rsidP="007051DC">
      <w:pPr>
        <w:spacing w:after="0" w:line="240" w:lineRule="auto"/>
        <w:ind w:left="7788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Додаток</w:t>
      </w:r>
    </w:p>
    <w:p w:rsidR="007051DC" w:rsidRDefault="007051DC" w:rsidP="007051DC">
      <w:pPr>
        <w:spacing w:after="0"/>
        <w:ind w:left="495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сесії </w:t>
      </w:r>
      <w:proofErr w:type="spellStart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міської ради </w:t>
      </w:r>
    </w:p>
    <w:p w:rsidR="007051DC" w:rsidRDefault="007051DC" w:rsidP="007051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2957-29-</w:t>
      </w: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 від 24.02.2022 року</w:t>
      </w:r>
    </w:p>
    <w:p w:rsidR="007051DC" w:rsidRDefault="007051DC" w:rsidP="007051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51DC" w:rsidRDefault="007051DC" w:rsidP="007051DC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51DC" w:rsidRPr="007051DC" w:rsidRDefault="007051DC" w:rsidP="007051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Перелік транспортних засобів,</w:t>
      </w:r>
    </w:p>
    <w:p w:rsidR="007051DC" w:rsidRPr="007051DC" w:rsidRDefault="007051DC" w:rsidP="007051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які підлягають </w:t>
      </w:r>
      <w:r w:rsidRPr="007051D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списанню </w:t>
      </w:r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балансу комунального підприємства «</w:t>
      </w:r>
      <w:proofErr w:type="spellStart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Бучабудзамовник</w:t>
      </w:r>
      <w:proofErr w:type="spellEnd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</w:t>
      </w:r>
    </w:p>
    <w:p w:rsidR="007051DC" w:rsidRPr="007051DC" w:rsidRDefault="007051DC" w:rsidP="007051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Pr="007051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міської ради:</w:t>
      </w:r>
    </w:p>
    <w:p w:rsidR="007051DC" w:rsidRDefault="007051DC" w:rsidP="007051DC">
      <w:pPr>
        <w:spacing w:after="0" w:line="240" w:lineRule="auto"/>
        <w:ind w:left="4956"/>
      </w:pPr>
    </w:p>
    <w:tbl>
      <w:tblPr>
        <w:tblW w:w="9964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"/>
        <w:gridCol w:w="1656"/>
        <w:gridCol w:w="1272"/>
        <w:gridCol w:w="1123"/>
        <w:gridCol w:w="989"/>
        <w:gridCol w:w="1560"/>
        <w:gridCol w:w="1411"/>
        <w:gridCol w:w="1339"/>
      </w:tblGrid>
      <w:tr w:rsidR="007051DC" w:rsidRPr="007051DC" w:rsidTr="007051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/>
        </w:trPr>
        <w:tc>
          <w:tcPr>
            <w:tcW w:w="614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1656" w:type="dxa"/>
            <w:shd w:val="clear" w:color="auto" w:fill="FFFFFF"/>
          </w:tcPr>
          <w:p w:rsid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  <w:p w:rsidR="007051DC" w:rsidRPr="007051DC" w:rsidRDefault="007051DC" w:rsidP="0070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</w:t>
            </w:r>
            <w:proofErr w:type="spellStart"/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айменування</w:t>
            </w:r>
            <w:proofErr w:type="spellEnd"/>
          </w:p>
        </w:tc>
        <w:tc>
          <w:tcPr>
            <w:tcW w:w="1272" w:type="dxa"/>
            <w:shd w:val="clear" w:color="auto" w:fill="FFFFFF"/>
            <w:vAlign w:val="center"/>
          </w:tcPr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Рік</w:t>
            </w: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випуску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Одиниц</w:t>
            </w:r>
            <w:proofErr w:type="spellEnd"/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</w:t>
            </w: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виміру</w:t>
            </w:r>
          </w:p>
        </w:tc>
        <w:tc>
          <w:tcPr>
            <w:tcW w:w="989" w:type="dxa"/>
            <w:shd w:val="clear" w:color="auto" w:fill="FFFFFF"/>
          </w:tcPr>
          <w:p w:rsid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</w:t>
            </w: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softHyphen/>
            </w: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кість</w:t>
            </w:r>
          </w:p>
        </w:tc>
        <w:tc>
          <w:tcPr>
            <w:tcW w:w="1560" w:type="dxa"/>
            <w:shd w:val="clear" w:color="auto" w:fill="FFFFFF"/>
          </w:tcPr>
          <w:p w:rsid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Державний</w:t>
            </w: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номер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Первісна</w:t>
            </w: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вартість,</w:t>
            </w: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339" w:type="dxa"/>
            <w:shd w:val="clear" w:color="auto" w:fill="FFFFFF"/>
          </w:tcPr>
          <w:p w:rsid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051DC" w:rsidRPr="007051DC" w:rsidRDefault="007051DC" w:rsidP="00705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Знос, грн.</w:t>
            </w:r>
          </w:p>
        </w:tc>
      </w:tr>
      <w:tr w:rsidR="007051DC" w:rsidRPr="007051DC" w:rsidTr="007051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/>
        </w:trPr>
        <w:tc>
          <w:tcPr>
            <w:tcW w:w="614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56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Автомобіль</w:t>
            </w:r>
          </w:p>
          <w:p w:rsidR="007051DC" w:rsidRPr="007051DC" w:rsidRDefault="007051DC" w:rsidP="0070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Chevrolet</w:t>
            </w:r>
          </w:p>
          <w:p w:rsidR="007051DC" w:rsidRPr="007051DC" w:rsidRDefault="007051DC" w:rsidP="0070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Аv</w:t>
            </w: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ео</w:t>
            </w:r>
            <w:proofErr w:type="spellEnd"/>
          </w:p>
        </w:tc>
        <w:tc>
          <w:tcPr>
            <w:tcW w:w="1272" w:type="dxa"/>
            <w:shd w:val="clear" w:color="auto" w:fill="FFFFFF"/>
          </w:tcPr>
          <w:p w:rsidR="007051DC" w:rsidRPr="007051DC" w:rsidRDefault="007051DC" w:rsidP="007051D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2006</w:t>
            </w:r>
          </w:p>
        </w:tc>
        <w:tc>
          <w:tcPr>
            <w:tcW w:w="1123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89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АІ4817АО</w:t>
            </w:r>
          </w:p>
        </w:tc>
        <w:tc>
          <w:tcPr>
            <w:tcW w:w="1411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73 273,74</w:t>
            </w:r>
          </w:p>
        </w:tc>
        <w:tc>
          <w:tcPr>
            <w:tcW w:w="1339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73 273.74</w:t>
            </w:r>
          </w:p>
        </w:tc>
      </w:tr>
      <w:tr w:rsidR="007051DC" w:rsidRPr="007051DC" w:rsidTr="007051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/>
        </w:trPr>
        <w:tc>
          <w:tcPr>
            <w:tcW w:w="614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</w:tc>
        <w:tc>
          <w:tcPr>
            <w:tcW w:w="1656" w:type="dxa"/>
            <w:shd w:val="clear" w:color="auto" w:fill="FFFFFF"/>
            <w:vAlign w:val="center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272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</w:tc>
        <w:tc>
          <w:tcPr>
            <w:tcW w:w="1123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7051DC" w:rsidRPr="007051DC" w:rsidRDefault="007051DC" w:rsidP="0070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</w:tc>
        <w:tc>
          <w:tcPr>
            <w:tcW w:w="1411" w:type="dxa"/>
            <w:shd w:val="clear" w:color="auto" w:fill="FFFFFF"/>
            <w:vAlign w:val="center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73 273,74</w:t>
            </w:r>
          </w:p>
        </w:tc>
        <w:tc>
          <w:tcPr>
            <w:tcW w:w="1339" w:type="dxa"/>
            <w:shd w:val="clear" w:color="auto" w:fill="FFFFFF"/>
            <w:vAlign w:val="center"/>
          </w:tcPr>
          <w:p w:rsidR="007051DC" w:rsidRPr="007051DC" w:rsidRDefault="007051DC" w:rsidP="007051D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73 273,74</w:t>
            </w:r>
          </w:p>
        </w:tc>
      </w:tr>
    </w:tbl>
    <w:p w:rsidR="007051DC" w:rsidRDefault="007051DC" w:rsidP="007051DC">
      <w:pPr>
        <w:spacing w:after="0" w:line="240" w:lineRule="auto"/>
        <w:ind w:left="4956"/>
      </w:pPr>
    </w:p>
    <w:p w:rsidR="00A16DDE" w:rsidRDefault="00A16DDE" w:rsidP="007051DC">
      <w:pPr>
        <w:spacing w:after="0" w:line="240" w:lineRule="auto"/>
        <w:ind w:left="4956"/>
      </w:pPr>
    </w:p>
    <w:p w:rsidR="00A16DDE" w:rsidRDefault="00A16DDE" w:rsidP="007051DC">
      <w:pPr>
        <w:spacing w:after="0" w:line="240" w:lineRule="auto"/>
        <w:ind w:left="4956"/>
      </w:pPr>
    </w:p>
    <w:p w:rsidR="00A16DDE" w:rsidRDefault="00A16DDE" w:rsidP="007051DC">
      <w:pPr>
        <w:spacing w:after="0" w:line="240" w:lineRule="auto"/>
        <w:ind w:left="4956"/>
      </w:pPr>
    </w:p>
    <w:p w:rsidR="00A16DDE" w:rsidRDefault="00A16DDE" w:rsidP="007051DC">
      <w:pPr>
        <w:spacing w:after="0" w:line="240" w:lineRule="auto"/>
        <w:ind w:left="4956"/>
      </w:pPr>
    </w:p>
    <w:p w:rsidR="00A16DDE" w:rsidRDefault="00A16DDE" w:rsidP="007051DC">
      <w:pPr>
        <w:spacing w:after="0" w:line="240" w:lineRule="auto"/>
        <w:ind w:left="4956"/>
      </w:pPr>
    </w:p>
    <w:p w:rsidR="00A16DDE" w:rsidRDefault="00A16DDE" w:rsidP="007051DC">
      <w:pPr>
        <w:spacing w:after="0" w:line="240" w:lineRule="auto"/>
        <w:ind w:left="4956"/>
      </w:pPr>
    </w:p>
    <w:p w:rsidR="00A16DDE" w:rsidRPr="002622D9" w:rsidRDefault="00A16DDE" w:rsidP="00A16D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262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Секретар ради</w:t>
      </w:r>
      <w:r w:rsidRPr="002622D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</w:t>
      </w:r>
      <w:r w:rsidRPr="002622D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262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Тарас ШАПРАВСЬКИЙ</w:t>
      </w:r>
    </w:p>
    <w:p w:rsidR="00A16DDE" w:rsidRDefault="00A16DDE" w:rsidP="007051DC">
      <w:pPr>
        <w:spacing w:after="0" w:line="240" w:lineRule="auto"/>
        <w:ind w:left="4956"/>
      </w:pPr>
    </w:p>
    <w:sectPr w:rsidR="00A16D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12D1082F"/>
    <w:multiLevelType w:val="hybridMultilevel"/>
    <w:tmpl w:val="88A4774E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22B10DA"/>
    <w:multiLevelType w:val="hybridMultilevel"/>
    <w:tmpl w:val="42F88AC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3A"/>
    <w:rsid w:val="00296007"/>
    <w:rsid w:val="007051DC"/>
    <w:rsid w:val="007762FB"/>
    <w:rsid w:val="00A16DDE"/>
    <w:rsid w:val="00C3539F"/>
    <w:rsid w:val="00C8133A"/>
    <w:rsid w:val="00E2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41FA4"/>
  <w15:chartTrackingRefBased/>
  <w15:docId w15:val="{1D70BD32-E206-4DDB-B2ED-45DE5430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locked/>
    <w:rsid w:val="00705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05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51DC"/>
    <w:pPr>
      <w:ind w:left="720"/>
      <w:contextualSpacing/>
    </w:pPr>
  </w:style>
  <w:style w:type="table" w:customStyle="1" w:styleId="3">
    <w:name w:val="Сітка таблиці3"/>
    <w:basedOn w:val="a1"/>
    <w:next w:val="a3"/>
    <w:uiPriority w:val="39"/>
    <w:rsid w:val="00705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16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16D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2063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2022-05-20T11:54:00Z</cp:lastPrinted>
  <dcterms:created xsi:type="dcterms:W3CDTF">2022-05-20T11:37:00Z</dcterms:created>
  <dcterms:modified xsi:type="dcterms:W3CDTF">2022-05-20T12:03:00Z</dcterms:modified>
</cp:coreProperties>
</file>